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يكشف التحليل الرأسي عن مدى تقدم الشركة أو انخفاضها ،  كما يكشف عن قدرة الشركة على التمويل وكذلك حجم استثماراتها من خلال حساب نسبة حقوق الملكية إلى الأصول وتأثير ذلك على المركز المالي للشركة وصافي الأرباح.  يوضح مدى فعالية الإدارة في استخدام أصول الشركة ومواردها لتحقيق أقصى قدر من الربح.    يوضح التحليل الأفقي تقدم الشركة أو تراجعها مقارنة بسنة الأساس،  ولكن لا يكفي الحكم على المؤشر الجيد إذا كان النسيان موجها نحو بنود الأصول والإيرادات،   حيث يجب النظر في تحليل باقي البنود المرتبطة بكل اتجاه وقياس مدى تأثير هذه الزيادة أو النقصان على باقي البنود ومقابلها يتم الحكم على المؤشر الجيد أو السيئ.    هناك شذوذ في التحليل الأفقي حيث لا تعبر الإشارة المالية لنسيان التغيير عن الانخفاض في هذا البند مقارنة بالعام السابق ،  بل تعبر عن زيادة كما هو الحال في يد احتياطي تقييم النقد الأجنبي في الميزانية العمومية.  يحدث هذا الموقف عندما تكون قيمة الصنف سالبة في سنة الأساس وتكون القيمة موجية لنفس البند في سنة التغيير أي في حال تحول الخسارة إلى رياح ويجب مراعاة هذه الحالة في التحليل من خلال الرجوع إلى قيم هذا البند في الشركة خلال العامين.    تتعارض نتائج كل من التحليلات الأفقية والرأسية في بعض الأحيان ،  ولكن هذا متوقع لأن كل تحليل يركز على جانب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