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Low back pain (LBP) is a major health problem1, considered the leading cause of years lived with disability1 and of absenteeism.</w:t>
      </w:r>
    </w:p>
    <w:p>
      <w:pPr/>
      <w:r>
        <w:rPr>
          <w:shd w:val="clear" w:fill="eeee80"/>
        </w:rPr>
        <w:t xml:space="preserve">Although the impact on productivity varies in the literature2, one systematic review estimated the direct medical costs as $300 billion in the United States (U.S.) alone3.</w:t>
      </w:r>
    </w:p>
    <w:p>
      <w:pPr/>
      <w:r>
        <w:rPr>
          <w:shd w:val="clear" w:fill="eeee80"/>
        </w:rPr>
        <w:t xml:space="preserve">Unsatisfactory LBP management may lead to overutilization of imaging4, surgeries5,6, and medication, including opioids7,8.</w:t>
      </w:r>
    </w:p>
    <w:p>
      <w:pPr/>
      <w:r>
        <w:rPr>
          <w:shd w:val="clear" w:fill="eeee80"/>
        </w:rPr>
        <w:t xml:space="preserve">Current guidelines for chronic LBP (CLBP) management recommend physiotherapy as a first-line intervention, alongside education and behavioral interventions9,10.</w:t>
      </w:r>
    </w:p>
    <w:p>
      <w:pPr/>
      <w:r>
        <w:rPr>
          <w:shd w:val="clear" w:fill="eeee80"/>
        </w:rPr>
        <w:t xml:space="preserve">Moderate-certainty evidence from randomized controlled trials (RCTs) supports the effectiveness of exercise-based physiotherapy in reducing pain and disability in LBP treatment11, and these interventions have often yielded better outcomes for disability and return to work than surgical interventions2,12.</w:t>
      </w:r>
    </w:p>
    <w:p>
      <w:pPr/>
      <w:r>
        <w:rPr>
          <w:shd w:val="clear" w:fill="eeee80"/>
        </w:rPr>
        <w:t xml:space="preserve"> However, access to in-person physiotherapy faces several barriers: a scarcity of healthcare resources (including therapists and facilities), time-, travel-, and costs-constraints (work time off, childcare costs), insufficient health literacy, and, more recently, the perceived risk of contracting infections13.</w:t>
      </w:r>
    </w:p>
    <w:p>
      <w:pPr/>
      <w:r>
        <w:rPr>
          <w:shd w:val="clear" w:fill="eeee80"/>
        </w:rPr>
        <w:t xml:space="preserve">All these also affect engagement, resulting in high percentages of unattended or incomplete treatments14.</w:t>
      </w:r>
    </w:p>
    <w:p>
      <w:pPr/>
      <w:r>
        <w:rPr>
          <w:shd w:val="clear" w:fill="eeee80"/>
        </w:rPr>
        <w:t xml:space="preserve">Digital interventions have great potential in overcoming such challenges, being more accessible and affordable than in-person physiotherapy15,16, and increasing patient adherence and empowerment17.</w:t>
      </w:r>
    </w:p>
    <w:p>
      <w:pPr/>
      <w:r>
        <w:rPr>
          <w:shd w:val="clear" w:fill="eeee80"/>
        </w:rPr>
        <w:t xml:space="preserve">Within LBP management, research has focused on the effectiveness and safety of digital interventions, both as adjuncts to in-person care18,19 and as stand-alone through video conference-based19 or asynchronous telerehabilitation20,21.</w:t>
      </w:r>
    </w:p>
    <w:p>
      <w:pPr/>
      <w:r>
        <w:rPr>
          <w:shd w:val="clear" w:fill="eeee80"/>
        </w:rPr>
        <w:t xml:space="preserve">The latter has the potential to scale care delivery, addressing the growing prevalence of CLBP1.</w:t>
      </w:r>
    </w:p>
    <w:p>
      <w:pPr/>
      <w:r>
        <w:rPr>
          <w:shd w:val="clear" w:fill="eeee80"/>
        </w:rPr>
        <w:t xml:space="preserve">However, the few trials comparing exercise-based asynchronous interventions with standard inperson physiotherapy considered cohorts with diverse acuity levels20,21 or were non-randomized studies20, compromising the certainty of evidence on the subject.</w:t>
      </w:r>
    </w:p>
    <w:p>
      <w:pPr/>
      <w:r>
        <w:rPr>
          <w:shd w:val="clear" w:fill="eeee80"/>
        </w:rPr>
        <w:t xml:space="preserve">Thus, further research is needed on the effectiveness of these solutions as an alternative to in-person physiotherapy for CLBP.</w:t>
      </w:r>
    </w:p>
    <w:p>
      <w:pPr/>
      <w:r>
        <w:rPr>
          <w:shd w:val="clear" w:fill="eeee80"/>
        </w:rPr>
        <w:t xml:space="preserve">Previously, we demonstrated the effectiveness of tailored digital care programs (DCP) integrating exercise, education, and cognitive behavioral therapy (CBT) in several musculoskeletal conditions22,23, including acute and chronic LBP24,25.</w:t>
      </w:r>
    </w:p>
    <w:p>
      <w:pPr/>
      <w:r>
        <w:rPr>
          <w:shd w:val="clear" w:fill="eeee80"/>
        </w:rPr>
        <w:t xml:space="preserve">The present RCT aims to compare the clinical outcomes of patients with CLBP following a DCP versus conventional in-person physiotherapy.</w:t>
      </w:r>
    </w:p>
    <w:p>
      <w:pPr/>
      <w:r>
        <w:rPr>
          <w:shd w:val="clear" w:fill="eeee80"/>
        </w:rPr>
        <w:t xml:space="preserve">We hypothesize that outcomes are comparable to those obtained with conventional physiotherapy.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2026-10-18T19:29:08+00:00</dcterms:created>
  <dcterms:modified xsi:type="dcterms:W3CDTF">2026-10-18T19:29:08+00:00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