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ConClUsionsSince its introduction as one of the first formal CBT techniques, PST hasbeen applied to a wide range of clinical disorders and health problems(D’Zurilla & Nezu, 2007) and is one of the most frequently used practiceelements in EBTs for youth with internalizing disorders (Chorpita &Daleiden, 2009). </w:t></w:r></w:p><w:p><w:pPr/><w:r><w:rPr><w:shd w:val="clear" w:fill="eeee80"/></w:rPr><w:t xml:space="preserve">In treatments for depression and anxiety, PST is usedto teach youth to use problems as cues for action focused on changingthe situation or better coping with the resulting negative emotions.</w:t></w:r></w:p><w:p><w:pPr/><w:r><w:rPr/><w:t xml:space="preserve"> </w:t></w:r></w:p><w:p><w:pPr/><w:r><w:rPr><w:shd w:val="clear" w:fill="eeee80"/></w:rPr><w:t xml:space="preserve">Bytargeting coping skills that can be applied to newly emerging prob-lems, PST offers advantages for maintenance and generalization.</w:t></w:r></w:p><w:p><w:pPr/><w:r><w:rPr/><w:t xml:space="preserve"> </w:t></w:r></w:p><w:p><w:pPr/><w:r><w:rPr><w:shd w:val="clear" w:fill="eeee80"/></w:rPr><w:t xml:space="preserve">Thecognitive abilities underlying problem solving develop unevenly, and ascaffolding approach to teaching the skills is suggested.</w:t></w:r></w:p><w:p><w:pPr/><w:r><w:rPr/><w:t xml:space="preserve"> </w:t></w:r></w:p><w:p><w:pPr/><w:r><w:rPr><w:shd w:val="clear" w:fill="eeee80"/></w:rPr><w:t xml:space="preserve">Sensitivity toculture and adapting PST for diverse youth are also important.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2026-09-15T22:06:25+00:00</dcterms:created>
  <dcterms:modified xsi:type="dcterms:W3CDTF">2026-09-15T22:06:25+00:00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