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الفاعلون و الصلاحيات في سياسة المدينة </w:t>
      </w:r>
    </w:p>
    <w:p>
      <w:pPr/>
      <w:r>
        <w:rPr>
          <w:shd w:val="clear" w:fill="eeee80"/>
        </w:rPr>
        <w:t xml:space="preserve">تبادر بسياسة المدينة و تديرها كما تحدد الأهداف و الإطار و الأدوات بالتشاور مع الجماعات الإقليمية بحيث تحددها عن طريق :</w:t>
      </w:r>
    </w:p>
    <w:p>
      <w:pPr/>
      <w:r>
        <w:rPr>
          <w:shd w:val="clear" w:fill="eeee80"/>
        </w:rPr>
        <w:t xml:space="preserve">تحديد المواصفات و المؤشرات الحضرية؛</w:t>
      </w:r>
    </w:p>
    <w:p>
      <w:pPr/>
      <w:r>
        <w:rPr>
          <w:shd w:val="clear" w:fill="eeee80"/>
        </w:rPr>
        <w:t xml:space="preserve">تصميم و وضع سياسات تحسيسية؛</w:t>
      </w:r>
    </w:p>
    <w:p>
      <w:pPr/>
      <w:r>
        <w:rPr>
          <w:shd w:val="clear" w:fill="eeee80"/>
        </w:rPr>
        <w:t xml:space="preserve">وضع حيز التنفيذ أدوات التدخل و المساعدة على اتخاذ القرار؛</w:t>
      </w:r>
    </w:p>
    <w:p>
      <w:pPr/>
      <w:r>
        <w:rPr>
          <w:shd w:val="clear" w:fill="eeee80"/>
        </w:rPr>
        <w:t xml:space="preserve">السهر على تناسق الأدوات و ضمان مراقبة و تقييم أدائها.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2026-09-04T20:06:48+00:00</dcterms:created>
  <dcterms:modified xsi:type="dcterms:W3CDTF">2026-09-04T20:06:48+00:00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