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التكافل العام وبرامجه هي أساسا عقود ضمان مشترك قصير الأجل (سنة واحدة في الغالب)،</w:t>
      </w:r>
    </w:p>
    <w:p>
      <w:pPr/>
      <w:r>
        <w:rPr>
          <w:shd w:val="clear" w:fill="eeee80"/>
        </w:rPr>
        <w:t xml:space="preserve"> يوفر تعويضا تعاونيا عند حدوث نوع من الخسارة،</w:t>
      </w:r>
    </w:p>
    <w:p>
      <w:pPr/>
      <w:r>
        <w:rPr/>
        <w:t xml:space="preserve"> ويتم تصميم البرامج لتلبية الاحتياجات لحماية الأشخاص وكيانات الشركات فيما يعلق بالخسارة الجوهرية أو الضرر الناتج عن خطر فجائي أو كارثة تتعرض لها عقارات أو موجودات أو ممتلكات المشتركين.2- التكافل العائلي: يتعامل التكافل العائلي مع توفير المساعدة المالية للمشتركين وعائلاتهم في حالة النكبات المتعلقة بالوفاة أو العجز.</w:t>
      </w:r>
    </w:p>
    <w:p>
      <w:pPr/>
      <w:r>
        <w:rPr>
          <w:shd w:val="clear" w:fill="eeee80"/>
        </w:rPr>
        <w:t xml:space="preserve"> ويتطلب هذا النوع من التأمين من مؤسسة التأمين التكافلي الدخول في علاقة طويلة الأجل طوال السنوات التي تم تحديدها مع المشتركين،</w:t>
      </w:r>
    </w:p>
    <w:p>
      <w:pPr/>
      <w:r>
        <w:rPr>
          <w:shd w:val="clear" w:fill="eeee80"/>
        </w:rPr>
        <w:t xml:space="preserve"> غير انه توجد بعض منتجات التكافل العائلي مثل التكافل الجماعي أو التكافل بأجل التي لا تتطلب بالضرورة علاقة طويلة الأجل بين مؤسسة التكافل والمشتركين في التكافل.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2026-10-18T03:52:15+00:00</dcterms:created>
  <dcterms:modified xsi:type="dcterms:W3CDTF">2026-10-18T03:52:15+00:00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