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صيام رمضان ركنًا أساسيًا من أركان الإسلام الخمسة،  فرضه الله على المسلمين.  يُشترط لوجوب الصيام عدة شروط:  إسلام الشخص، بلوغه، وعقله، وقدرته على الصيام، وإقامته.  كما يشترط لدخول وقت الصيام رؤية هلال رمضان أو إتمام شعبان ثلاثين يومًا، وخلو المرأة من الحيض أو النفاس.  أما شروط صحة الصيام فتتمثل في نية الصيام قبل الفجر، والإمساك عن المفطرات من الفجر لغروب الشمس، بالإضافة إلى الإسلام والتمييز.  باختصار، يجب على المسلم البالغ العاقل القادر والمقيم أن ينوي الصيام، ويمتنع عن المفطرات خلال شهر رمضان، مع مراعاة شروط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