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يوضح الشكل 16 أن النشاط المضاد للميكروبات للمركبات الستة التي تم اختبارها بالإضافة إلى السيطرة الفارغة (خرز الجينات) ضد المكورات العنقودية الذهبية (S.</w:t>
      </w:r>
    </w:p>
    <w:p>
      <w:pPr/>
      <w:r>
        <w:rPr/>
        <w:t xml:space="preserve"> aeruginosa) والمبيضات البيضاء (C. (سلبية الجرام) البكتيريا والفطريات،</w:t>
      </w:r>
    </w:p>
    <w:p>
      <w:pPr/>
      <w:r>
        <w:rPr>
          <w:shd w:val="clear" w:fill="eeee80"/>
        </w:rPr>
        <w:t xml:space="preserve"> على التوالي يتم تقييمها عن طريق حساب وتمثيل وحدة تشكيل مستعمرة log10 لكل ملليلتر.</w:t>
      </w:r>
    </w:p>
    <w:p>
      <w:pPr/>
      <w:r>
        <w:rPr>
          <w:shd w:val="clear" w:fill="eeee80"/>
        </w:rPr>
        <w:t xml:space="preserve"> من الواضح أنه بالنسبة لجميع السلالات التي تم اختبارها والمحضنة مع السيطرة والثلاث ALG/Fe3O4,</w:t>
      </w:r>
    </w:p>
    <w:p>
      <w:pPr/>
      <w:r>
        <w:rPr>
          <w:shd w:val="clear" w:fill="eeee80"/>
        </w:rPr>
        <w:t xml:space="preserve"> ALG/MgO ومركباتها النانوية الثلاثة الهجينة مع الفضة ALG/Fe3O4/Ag,</w:t>
      </w:r>
    </w:p>
    <w:p>
      <w:pPr/>
      <w:r>
        <w:rPr/>
        <w:t xml:space="preserve"> ALG/MgO /Ag للمركبات التي تم اختبارها،</w:t>
      </w:r>
    </w:p>
    <w:p>
      <w:pPr/>
      <w:r>
        <w:rPr>
          <w:shd w:val="clear" w:fill="eeee80"/>
        </w:rPr>
        <w:t xml:space="preserve"> زاد عدد الناجين من السلالات المطبقة بدرجات متفاوتة خلال 18 ساعة.</w:t>
      </w:r>
    </w:p>
    <w:p>
      <w:pPr/>
      <w:r>
        <w:rPr/>
        <w:t xml:space="preserve"> عانت السلالات المختبرة المحتضنة بـ ALG/Fe3O4،</w:t>
      </w:r>
    </w:p>
    <w:p>
      <w:pPr/>
      <w:r>
        <w:rPr>
          <w:shd w:val="clear" w:fill="eeee80"/>
        </w:rPr>
        <w:t xml:space="preserve"> ALG/MgO من نقص متزايد في عدد سجل الناجين بمقدار 2 سجل و 3 دورات سجل،</w:t>
      </w:r>
    </w:p>
    <w:p>
      <w:pPr/>
      <w:r>
        <w:rPr>
          <w:shd w:val="clear" w:fill="eeee80"/>
        </w:rPr>
        <w:t xml:space="preserve"> على التوالي: لجميع السلالات التي تم اختبارها في نهاية وقت الاتصال.</w:t>
      </w:r>
    </w:p>
    <w:p>
      <w:pPr/>
      <w:r>
        <w:rPr>
          <w:shd w:val="clear" w:fill="eeee80"/>
        </w:rPr>
        <w:t xml:space="preserve">aeruginosa مقاومة أكبر من بكتريا S.</w:t>
      </w:r>
    </w:p>
    <w:p>
      <w:pPr/>
      <w:r>
        <w:rPr/>
        <w:t xml:space="preserve"> وذكر الأسطل وآخرون (2005) أن بكتيريا جرام + وجد أنها أكثر حساسية تجاه العوامل المضادة للميكروبات من بكتيريا جرام. قد يكون هذا بسبب أن جدار الخلية Gram +ve أقل تعقيدًا.</w:t>
      </w:r>
    </w:p>
    <w:p>
      <w:pPr/>
      <w:r>
        <w:rPr>
          <w:shd w:val="clear" w:fill="eeee80"/>
        </w:rPr>
        <w:t xml:space="preserve"> بالإضافة إلى ذلك،</w:t>
      </w:r>
    </w:p>
    <w:p>
      <w:pPr/>
      <w:r>
        <w:rPr>
          <w:shd w:val="clear" w:fill="eeee80"/>
        </w:rPr>
        <w:t xml:space="preserve"> فإن الأنواع سالبة الجرام أقل استجابة لعمل العوامل المضادة للبكتيريا ويمكن افتراض أن لديها غشاء خارجي يحمي جدار الخلية.</w:t>
      </w:r>
    </w:p>
    <w:p>
      <w:pPr/>
      <w:r>
        <w:rPr/>
        <w:t xml:space="preserve"> يمكن أن يعزى النشاط المضاد للميكروبات الفعال لمركبات ALG/Fe3O4/Ag،</w:t>
      </w:r>
    </w:p>
    <w:p>
      <w:pPr/>
      <w:r>
        <w:rPr>
          <w:shd w:val="clear" w:fill="eeee80"/>
        </w:rPr>
        <w:t xml:space="preserve"> ALG/MgO/Ag إلى المكونات التي تتكون أساسًا من جسيمات الفضة النانوية.</w:t>
      </w:r>
    </w:p>
    <w:p>
      <w:pPr/>
      <w:r>
        <w:rPr>
          <w:shd w:val="clear" w:fill="eeee80"/>
        </w:rPr>
        <w:t xml:space="preserve"> أدى تطبيق العلاج بـ ALG/MgO/Ag إلى إنتاج كمية أكبر من التعطيل مقارنة بالمعالجة الأخرى ALG/Fe3O4،</w:t>
      </w:r>
    </w:p>
    <w:p>
      <w:pPr/>
      <w:r>
        <w:rPr>
          <w:shd w:val="clear" w:fill="eeee80"/>
        </w:rPr>
        <w:t xml:space="preserve"> تشير هذه النتائج إلى أن العلاج المشترك لأكسيد المغنيسيوم والجسيمات النانوية الفضية خلق تأثيرًا تآزريًا إيجابيًا.</w:t>
      </w:r>
    </w:p>
    <w:p>
      <w:pPr/>
      <w:r>
        <w:rPr>
          <w:shd w:val="clear" w:fill="eeee80"/>
        </w:rPr>
        <w:t xml:space="preserve"> قد يؤدي هذا النهج أيضًا إلى زيادة كفاءة مبيد الجراثيم وتقليل احتمالية إعادة نمو مسببات الأمراض.</w:t>
      </w:r>
    </w:p>
    <w:p>
      <w:pPr/>
      <w:r>
        <w:rPr>
          <w:shd w:val="clear" w:fill="eeee80"/>
        </w:rPr>
        <w:t xml:space="preserve"> تمتلك NPs غير العضوية (AgNPs) علاقة عالية من السطح إلى الحجم،</w:t>
      </w:r>
    </w:p>
    <w:p>
      <w:pPr/>
      <w:r>
        <w:rPr/>
        <w:t xml:space="preserve"> يمكنهم إظهار سلوك فريد وهادف للجمع والتفاعل مع بعض الميكروبات المسببة للأمراض مثل الفطريات والخميرة والبكتيريا [66] [66].</w:t>
      </w:r>
    </w:p>
    <w:p>
      <w:pPr/>
      <w:r>
        <w:rPr>
          <w:shd w:val="clear" w:fill="eeee80"/>
        </w:rPr>
        <w:t xml:space="preserve"> تعرض الخصائص المتميزة لـ AgNPs استخدامها في التطبيقات الطبية الحيوية على نطاق واسع وتقلل من فعالية المضادات الحيوية التقليدية بسبب زيادة مقاومة بعض البكتيريا وبالتالي تقليل فرصة تطبيقها في الأدوية.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2026-10-10T09:55:13+00:00</dcterms:created>
  <dcterms:modified xsi:type="dcterms:W3CDTF">2026-10-10T09:55:13+00:00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