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خلى الله سبحانه وتعالى بينها وبين عقولنا (٢٥).</w:t>
      </w:r>
    </w:p>
    <w:p>
      <w:pPr/>
      <w:r>
        <w:rPr>
          <w:shd w:val="clear" w:fill="eeee80"/>
        </w:rPr>
        <w:t xml:space="preserve"> هل معنى ذلك أنها لا تستند إلى شرع ديني ولا تقوم بمقتضاه ؟ لا يذهب عبد الرازق إلى التصريح بذلك لفظاً،</w:t>
      </w:r>
    </w:p>
    <w:p>
      <w:pPr/>
      <w:r>
        <w:rPr>
          <w:shd w:val="clear" w:fill="eeee80"/>
        </w:rPr>
        <w:t xml:space="preserve"> لكنه يقول ذلك من طريق غير مباشر حين يربط بينها وبين مبدأين يؤسسانها هما : العقل،</w:t>
      </w:r>
    </w:p>
    <w:p>
      <w:pPr/>
      <w:r>
        <w:rPr>
          <w:shd w:val="clear" w:fill="eeee80"/>
        </w:rPr>
        <w:t xml:space="preserve"> أي الاجتهاد والمصلحة (٦٦).</w:t>
      </w:r>
    </w:p>
    <w:p>
      <w:pPr/>
      <w:r>
        <w:rPr>
          <w:shd w:val="clear" w:fill="eeee80"/>
        </w:rPr>
        <w:t xml:space="preserve"> وهذا ما يقود إلى الاستنتاج بأن عبد الرازق يعيد تعريف السياسة والدولة بوصفهما ظاهرتين إنسانيتين أو مدنيتين مجردتين من أية قداسة دينية.</w:t>
      </w:r>
    </w:p>
    <w:p>
      <w:pPr/>
      <w:r>
        <w:rPr>
          <w:shd w:val="clear" w:fill="eeee80"/>
        </w:rPr>
        <w:t xml:space="preserve"> فكيف يكون عليه بعد أن آل أمرهما ذاك) إلى بشر لا عصمة لديهم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2026-10-20T01:43:57+00:00</dcterms:created>
  <dcterms:modified xsi:type="dcterms:W3CDTF">2026-10-20T01:43:57+00:00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