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وزاد الإمام أحمد في روايته: " قال عبد الله – وكان يقرأ الكتب-: وأظن أولادها خروجًا طلوع الشمس من مغربها " (مسند أحمد تحقيق أحمد شاكر،</w:t>
      </w:r>
    </w:p>
    <w:p>
      <w:pPr/>
      <w:r>
        <w:rPr>
          <w:shd w:val="clear" w:fill="eeee80"/>
        </w:rPr>
        <w:t xml:space="preserve">نعم؛</w:t>
      </w:r>
    </w:p>
    <w:p>
      <w:pPr/>
      <w:r>
        <w:rPr/>
        <w:t xml:space="preserve"> جمع الحافظ ابن حجر بين أولية الدجال وأولية طلوع الشمس من مغربها،</w:t>
      </w:r>
    </w:p>
    <w:p>
      <w:pPr/>
      <w:r>
        <w:rPr>
          <w:shd w:val="clear" w:fill="eeee80"/>
        </w:rPr>
        <w:t xml:space="preserve"> فقال: " الذي يترجح من مجموع الأخبار أن خروج الدجال أول الآيات العظام المؤذنة بتغير الأحوال العامة في معظم الأرض،</w:t>
      </w:r>
    </w:p>
    <w:p>
      <w:pPr/>
      <w:r>
        <w:rPr/>
        <w:t xml:space="preserve"> وينتهي ذلك بقيام السَّاعة،</w:t>
      </w:r>
    </w:p>
    <w:p>
      <w:pPr/>
      <w:r>
        <w:rPr>
          <w:shd w:val="clear" w:fill="eeee80"/>
        </w:rPr>
        <w:t xml:space="preserve"> تميز المؤمن من الكافر؛</w:t>
      </w:r>
    </w:p>
    <w:p>
      <w:pPr/>
      <w:r>
        <w:rPr/>
        <w:t xml:space="preserve"> تكميلًا للمقصود من إغلاق باب التوبة،</w:t>
      </w:r>
    </w:p>
    <w:p>
      <w:pPr/>
      <w:r>
        <w:rPr>
          <w:shd w:val="clear" w:fill="eeee80"/>
        </w:rPr>
        <w:t xml:space="preserve"> وأول الآيات المؤذنة بقيام السَّاعة النار التي تحشر الناس " (فتح الباري).</w:t>
      </w:r>
    </w:p>
    <w:p>
      <w:pPr/>
      <w:r>
        <w:rPr>
          <w:shd w:val="clear" w:fill="eeee80"/>
        </w:rPr>
        <w:t xml:space="preserve">ويرى الحافظ ابن كثير أن خروج الدابة هو أول الآيات الأرضية التي ليست بمألوفة؛</w:t>
      </w:r>
    </w:p>
    <w:p>
      <w:pPr/>
      <w:r>
        <w:rPr>
          <w:shd w:val="clear" w:fill="eeee80"/>
        </w:rPr>
        <w:t xml:space="preserve"> فإن الدابة التي تكلم الناس وتعين المؤمن من الكافر أمر مخالف للعادة المستقرة.</w:t>
      </w:r>
    </w:p>
    <w:p>
      <w:pPr/>
      <w:r>
        <w:rPr>
          <w:shd w:val="clear" w:fill="eeee80"/>
        </w:rPr>
        <w:t xml:space="preserve"> وخروج يأجوج ومأجوج؛</w:t>
      </w:r>
    </w:p>
    <w:p>
      <w:pPr/>
      <w:r>
        <w:rPr>
          <w:shd w:val="clear" w:fill="eeee80"/>
        </w:rPr>
        <w:t xml:space="preserve"> إلا أنهم بشر،</w:t>
      </w:r>
    </w:p>
    <w:p>
      <w:pPr/>
      <w:r>
        <w:rPr>
          <w:shd w:val="clear" w:fill="eeee80"/>
        </w:rPr>
        <w:t xml:space="preserve"> مشاهدتهم وأمثالهم من الأمور المألوفة؛</w:t>
      </w:r>
    </w:p>
    <w:p>
      <w:pPr/>
      <w:r>
        <w:rPr>
          <w:shd w:val="clear" w:fill="eeee80"/>
        </w:rPr>
        <w:t xml:space="preserve"> بخلاف ظهور الدابة وطلوع الشمس من مغربها،</w:t>
      </w:r>
    </w:p>
    <w:p>
      <w:pPr/>
      <w:r>
        <w:rPr>
          <w:shd w:val="clear" w:fill="eeee80"/>
        </w:rPr>
        <w:t xml:space="preserve"> فهو ليس من الأمور المألوفة (انظر: النهاية).</w:t>
      </w:r>
    </w:p>
    <w:p>
      <w:pPr/>
      <w:r>
        <w:rPr>
          <w:shd w:val="clear" w:fill="eeee80"/>
        </w:rPr>
        <w:t xml:space="preserve">والذي يظهر أن المعول عليه ما ذهب إليه ابن حجر؛</w:t>
      </w:r>
    </w:p>
    <w:p>
      <w:pPr/>
      <w:r>
        <w:rPr>
          <w:shd w:val="clear" w:fill="eeee80"/>
        </w:rPr>
        <w:t xml:space="preserve"> فإن خروج الدجال من حيث كونه بشرًا ليس هو الآية،</w:t>
      </w:r>
    </w:p>
    <w:p>
      <w:pPr/>
      <w:r>
        <w:rPr>
          <w:shd w:val="clear" w:fill="eeee80"/>
        </w:rPr>
        <w:t xml:space="preserve"> فتنبت،</w:t>
      </w:r>
    </w:p>
    <w:p>
      <w:pPr/>
      <w:r>
        <w:rPr>
          <w:shd w:val="clear" w:fill="eeee80"/>
        </w:rPr>
        <w:t xml:space="preserve"> ويكون معه كذا وكذا مما ليس مألوفًا؛</w:t>
      </w:r>
    </w:p>
    <w:p>
      <w:pPr/>
      <w:r>
        <w:rPr>
          <w:shd w:val="clear" w:fill="eeee80"/>
        </w:rPr>
        <w:t xml:space="preserve"> كما سيأتي في الكلام على الدجال.</w:t>
      </w:r>
    </w:p>
    <w:p>
      <w:pPr/>
      <w:r>
        <w:rPr/>
        <w:t xml:space="preserve"> وخروج الدابة، والنار التي تحشر الناس " (فتح الباري).وهذا ترتيب بين جملة من الآيات وجملة أخرى منها؛ دون تعرض لترتيب ما اندرج تحت هاتين الجملتين،</w:t>
      </w:r>
    </w:p>
    <w:p>
      <w:pPr/>
      <w:r>
        <w:rPr>
          <w:shd w:val="clear" w:fill="eeee80"/>
        </w:rPr>
        <w:t xml:space="preserve"> مع أنه يظهر لي أن الطيبي يرى ترتيب الآيات حسب ما ذكره في كل قسم؛</w:t>
      </w:r>
    </w:p>
    <w:p>
      <w:pPr/>
      <w:r>
        <w:rPr>
          <w:shd w:val="clear" w:fill="eeee80"/>
        </w:rPr>
        <w:t xml:space="preserve"> ليتوبوا ويرجعوا إلى ربهم،</w:t>
      </w:r>
    </w:p>
    <w:p>
      <w:pPr/>
      <w:r>
        <w:rPr>
          <w:shd w:val="clear" w:fill="eeee80"/>
        </w:rPr>
        <w:t xml:space="preserve"> وذلك مناسب لها.</w:t>
      </w:r>
    </w:p>
    <w:p>
      <w:pPr/>
      <w:r>
        <w:rPr>
          <w:shd w:val="clear" w:fill="eeee80"/>
        </w:rPr>
        <w:t xml:space="preserve">وأما إذا ظهر القسم الثاني – الدال على حصول السَّاعة – فإن الناس يتميزون إلى مؤمن وكافر؛</w:t>
      </w:r>
    </w:p>
    <w:p>
      <w:pPr/>
      <w:r>
        <w:rPr>
          <w:shd w:val="clear" w:fill="eeee80"/>
        </w:rPr>
        <w:t xml:space="preserve"> كما سيأتي أنه عند ظهور الدُّخان يصيب المؤمن كهيئة الزكام،</w:t>
      </w:r>
    </w:p>
    <w:p>
      <w:pPr/>
      <w:r>
        <w:rPr>
          <w:shd w:val="clear" w:fill="eeee80"/>
        </w:rPr>
        <w:t xml:space="preserve"> كما سيأتي ذكر ذلك،</w:t>
      </w:r>
    </w:p>
    <w:p>
      <w:pPr/>
      <w:r>
        <w:rPr/>
        <w:t xml:space="preserve"> ثم يكون آخر ذلك ظهور النار التي تحشر الناس.</w:t>
      </w:r>
    </w:p>
    <w:p>
      <w:pPr/>
      <w:r>
        <w:rPr>
          <w:shd w:val="clear" w:fill="eeee80"/>
        </w:rPr>
        <w:t xml:space="preserve"> والله أعلم.</w:t>
      </w:r>
    </w:p>
    <w:p>
      <w:pPr/>
      <w:r>
        <w:rPr>
          <w:shd w:val="clear" w:fill="eeee80"/>
        </w:rPr>
        <w:t xml:space="preserve">وقبل ذكري لهذه العلامات العشر الكبرى تحدثتُ عن المهدي؛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2026-10-07T21:37:27+00:00</dcterms:created>
  <dcterms:modified xsi:type="dcterms:W3CDTF">2026-10-07T21:37:27+00:00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