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Engineered nanoparticles can be delivered to contaminated sites via injection, dispersion, or immobilization in porous matrices, allowing for targeted remediation and controlled release.</w:t>
      </w:r>
    </w:p>
    <w:p>
      <w:pPr/>
      <w:r>
        <w:rPr/>
        <w:t xml:space="preserve">   - Challenges include optimizing nanoparticle synthesis methods, minimizing potential toxicity to non-target organisms, and understanding the long-term fate and transport of nanoparticles in complex environmental matrices.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2026-10-18T17:38:58+00:00</dcterms:created>
  <dcterms:modified xsi:type="dcterms:W3CDTF">2026-10-18T17:38:58+00:00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