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Current Political ChallengesUK politics faces numerous challenges, including Brexit, economic inequality, and climate change.</w:t>
      </w:r>
    </w:p>
    <w:p>
      <w:pPr/>
      <w:r>
        <w:rPr/>
        <w:t xml:space="preserve"> These issues demand urgent attention and innovative solutions from political leaders. </w:t>
      </w:r>
    </w:p>
    <w:p>
      <w:pPr/>
      <w:r>
        <w:rPr>
          <w:shd w:val="clear" w:fill="eeee80"/>
        </w:rPr>
        <w:t xml:space="preserve">Understanding how these challenges impact public policy and party dynamics is essential for grasping.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current political climate.</w:t>
      </w:r>
    </w:p>
    <w:p>
      <w:pPr/>
      <w:r>
        <w:rPr/>
        <w:t xml:space="preserve"> Economic Challenges3The UK faces a range of economic issues, including the cost-of-living crisis, income inequality, and the transition to a green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2026-09-17T15:56:57+00:00</dcterms:created>
  <dcterms:modified xsi:type="dcterms:W3CDTF">2026-09-17T15:56:57+00:00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