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مراجعة تقارير التدقيق الداخلي الصادرة خلال الفترة</w:t>
      </w:r>
    </w:p>
    <w:p>
      <w:pPr/>
      <w:r>
        <w:rPr>
          <w:shd w:val="clear" w:fill="eeee80"/>
        </w:rPr>
        <w:t xml:space="preserve">سنة؛</w:t>
      </w:r>
    </w:p>
    <w:p>
      <w:pPr/>
      <w:r>
        <w:rPr>
          <w:shd w:val="clear" w:fill="eeee80"/>
        </w:rPr>
        <w:t xml:space="preserve"> مراجعة النشرات الإخبارية التي تنشرها أطراف خارجية؛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إذا تم تحديد أي حالات عدم امتثال للقوانين واللوائح،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2026-10-14T15:21:33+00:00</dcterms:created>
  <dcterms:modified xsi:type="dcterms:W3CDTF">2026-10-14T15:21:33+00:00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