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هنا “تقرر أن الإلقاء الإلهي بموجب الراحمية الإلهية،</w:t>
      </w:r>
    </w:p>
    <w:p>
      <w:pPr/>
      <w:r>
        <w:rPr>
          <w:shd w:val="clear" w:fill="eeee80"/>
        </w:rPr>
        <w:t xml:space="preserve"> فقد ظهر أن الحق سبحانه يتجلى على من يُسمعهم ويُبصِّرهم،</w:t>
      </w:r>
    </w:p>
    <w:p>
      <w:pPr/>
      <w:r>
        <w:rPr>
          <w:shd w:val="clear" w:fill="eeee80"/>
        </w:rPr>
        <w:t xml:space="preserve"> وهو يلقي بأوامره إليهم،</w:t>
      </w:r>
    </w:p>
    <w:p>
      <w:pPr/>
      <w:r>
        <w:rPr>
          <w:shd w:val="clear" w:fill="eeee80"/>
        </w:rPr>
        <w:t xml:space="preserve"> باسم عظيم من أسمائه الحسنى وهو الشهيد؛</w:t>
      </w:r>
    </w:p>
    <w:p>
      <w:pPr/>
      <w:r>
        <w:rPr>
          <w:shd w:val="clear" w:fill="eeee80"/>
        </w:rPr>
        <w:t xml:space="preserve"> إذ يُحضر سبحانه لقلوبهم ما يُلقي به إليهم.</w:t>
      </w:r>
    </w:p>
    <w:p>
      <w:pPr/>
      <w:r>
        <w:rPr>
          <w:shd w:val="clear" w:fill="eeee80"/>
        </w:rPr>
        <w:t xml:space="preserve"> وعندئذ يلزم أن يتضمن اسم الشهيد اسمَ السميع واسمَ البصير،</w:t>
      </w:r>
    </w:p>
    <w:p>
      <w:pPr/>
      <w:r>
        <w:rPr>
          <w:shd w:val="clear" w:fill="eeee80"/>
        </w:rPr>
        <w:t xml:space="preserve"> بحيث تكون الشاهدية صفة ملكوتية رحموتية جامعة لـ”السامعية” و”الباصرية” كما تنص على ذلك نصًّا صريحًا الآية الكريمة: قَالَ لَا تَخَافَا إِنَّنِي مَعَكُمَا أَسْمَعُ وَأَرَى(طه:46).</w:t>
      </w:r>
    </w:p>
    <w:p>
      <w:pPr/>
      <w:r>
        <w:rPr>
          <w:shd w:val="clear" w:fill="eeee80"/>
        </w:rPr>
        <w:t xml:space="preserve">و”إذا كانت الشاهدية خاصية يتجلى فيها القرب الإلهي،</w:t>
      </w:r>
    </w:p>
    <w:p>
      <w:pPr/>
      <w:r>
        <w:rPr>
          <w:shd w:val="clear" w:fill="eeee80"/>
        </w:rPr>
        <w:t xml:space="preserve"> فليس هذا القرب عبارة عن “قرب رحمة” كما هو الشأن بالنسبة للآمرية فحسب،</w:t>
      </w:r>
    </w:p>
    <w:p>
      <w:pPr/>
      <w:r>
        <w:rPr>
          <w:shd w:val="clear" w:fill="eeee80"/>
        </w:rPr>
        <w:t xml:space="preserve"> إذ هو عبارة عن “رحمة قرب”؛</w:t>
      </w:r>
    </w:p>
    <w:p>
      <w:pPr/>
      <w:r>
        <w:rPr>
          <w:shd w:val="clear" w:fill="eeee80"/>
        </w:rPr>
        <w:t xml:space="preserve"> فالشاهدية تدل على أن الشاهد الأعلى قريب،</w:t>
      </w:r>
    </w:p>
    <w:p>
      <w:pPr/>
      <w:r>
        <w:rPr>
          <w:shd w:val="clear" w:fill="eeee80"/>
        </w:rPr>
        <w:t xml:space="preserve"> والقرب أصله رحمة،</w:t>
      </w:r>
    </w:p>
    <w:p>
      <w:pPr/>
      <w:r>
        <w:rPr>
          <w:shd w:val="clear" w:fill="eeee80"/>
        </w:rPr>
        <w:t xml:space="preserve"> ويتخذ هذا القرب شكل “حضور ملكوتي”.</w:t>
      </w:r>
    </w:p>
    <w:p>
      <w:pPr/>
      <w:r>
        <w:rPr>
          <w:shd w:val="clear" w:fill="eeee80"/>
        </w:rPr>
        <w:t xml:space="preserve"> يتبين أن “قرب الرحمة” يزدوج بـ”رحمة القرب” في الشاهدية الإلهية،</w:t>
      </w:r>
    </w:p>
    <w:p>
      <w:pPr/>
      <w:r>
        <w:rPr>
          <w:shd w:val="clear" w:fill="eeee80"/>
        </w:rPr>
        <w:t xml:space="preserve"> حتى إن أحدهما لا يُعرف إلا بالآخر؛</w:t>
      </w:r>
    </w:p>
    <w:p>
      <w:pPr/>
      <w:r>
        <w:rPr>
          <w:shd w:val="clear" w:fill="eeee80"/>
        </w:rPr>
        <w:t xml:space="preserve"> فلا تتعرف الرحمة إلى حقيقتها في شيء تعرُّفها إليها في القرب،</w:t>
      </w:r>
    </w:p>
    <w:p>
      <w:pPr/>
      <w:r>
        <w:rPr>
          <w:shd w:val="clear" w:fill="eeee80"/>
        </w:rPr>
        <w:t xml:space="preserve"> فماهية الرحمة هي القرب،</w:t>
      </w:r>
    </w:p>
    <w:p>
      <w:pPr/>
      <w:r>
        <w:rPr>
          <w:shd w:val="clear" w:fill="eeee80"/>
        </w:rPr>
        <w:t xml:space="preserve"> كما أن القرب لا يتعرف إلى حقيقته في شيء تعرُّفه إليها في الرحمة،</w:t>
      </w:r>
    </w:p>
    <w:p>
      <w:pPr/>
      <w:r>
        <w:rPr>
          <w:shd w:val="clear" w:fill="eeee80"/>
        </w:rPr>
        <w:t xml:space="preserve"> فماهية القرب هي الرحمة”.</w:t>
      </w:r>
    </w:p>
    <w:p>
      <w:pPr/>
      <w:r>
        <w:rPr>
          <w:shd w:val="clear" w:fill="eeee80"/>
        </w:rPr>
        <w:t xml:space="preserve">ويظهر أن الفقه الائتماري وقع في آفتين اثنتين،</w:t>
      </w:r>
    </w:p>
    <w:p>
      <w:pPr/>
      <w:r>
        <w:rPr>
          <w:shd w:val="clear" w:fill="eeee80"/>
        </w:rPr>
        <w:t xml:space="preserve"> وهما الإلقاء البعيد والإيجاب البعيد،</w:t>
      </w:r>
    </w:p>
    <w:p>
      <w:pPr/>
      <w:r>
        <w:rPr>
          <w:shd w:val="clear" w:fill="eeee80"/>
        </w:rPr>
        <w:t xml:space="preserve"> ورَّثتا المسلم تصورًا جلاليًّا للألوهية،</w:t>
      </w:r>
    </w:p>
    <w:p>
      <w:pPr/>
      <w:r>
        <w:rPr>
          <w:shd w:val="clear" w:fill="eeee80"/>
        </w:rPr>
        <w:t xml:space="preserve"> مما أثر على عقله وسلوكه بالضيق والتشدد.</w:t>
      </w:r>
    </w:p>
    <w:p>
      <w:pPr/>
      <w:r>
        <w:rPr>
          <w:shd w:val="clear" w:fill="eeee80"/>
        </w:rPr>
        <w:t xml:space="preserve"> وقد تدخل الفقه الائتماني لمعالجة هذا التصور،</w:t>
      </w:r>
    </w:p>
    <w:p>
      <w:pPr/>
      <w:r>
        <w:rPr>
          <w:shd w:val="clear" w:fill="eeee80"/>
        </w:rPr>
        <w:t xml:space="preserve"> حيث استبدل الإلقاء البعيد بالإلقاء القريب الذي يجمع بين السمع والبصر،</w:t>
      </w:r>
    </w:p>
    <w:p>
      <w:pPr/>
      <w:r>
        <w:rPr>
          <w:shd w:val="clear" w:fill="eeee80"/>
        </w:rPr>
        <w:t xml:space="preserve"> كما استبدل الإيجاب البعيد بالإيجاب القريب الذي يعيد الاعتبار لمبدأ الاختيار.</w:t>
      </w:r>
    </w:p>
    <w:p>
      <w:pPr/>
      <w:r>
        <w:rPr>
          <w:shd w:val="clear" w:fill="eeee80"/>
        </w:rPr>
        <w:t xml:space="preserve"> هو الرحمة الإلهية التي تتجلى في كون الله سبحانه سميعًا بصيرًا وفي كونه سبحانه شهيدًا.</w:t>
      </w:r>
    </w:p>
    <w:p>
      <w:pPr/>
      <w:r>
        <w:rPr>
          <w:shd w:val="clear" w:fill="eeee80"/>
        </w:rPr>
        <w:t xml:space="preserve"> وهكذا فإن الشاهدية تجمع بين الآمرية والراحمية،</w:t>
      </w:r>
    </w:p>
    <w:p>
      <w:pPr/>
      <w:r>
        <w:rPr>
          <w:shd w:val="clear" w:fill="eeee80"/>
        </w:rPr>
        <w:t xml:space="preserve"> ومن ثم تُخرج الآمرية من التصور الجلالي القائم على الضيق والتشدد،</w:t>
      </w:r>
    </w:p>
    <w:p>
      <w:pPr/>
      <w:r>
        <w:rPr>
          <w:shd w:val="clear" w:fill="eeee80"/>
        </w:rPr>
        <w:t xml:space="preserve"> إلى تصور جمالي قائم على السعة واللين،</w:t>
      </w:r>
    </w:p>
    <w:p>
      <w:pPr/>
      <w:r>
        <w:rPr>
          <w:shd w:val="clear" w:fill="eeee80"/>
        </w:rPr>
        <w:t xml:space="preserve"> ومن ثم يجعل الأوامر الإلهية تتأسس على الرحمة وليس على القهر.</w:t>
      </w:r>
    </w:p>
    <w:p>
      <w:pPr/>
      <w:r>
        <w:rPr>
          <w:shd w:val="clear" w:fill="eeee80"/>
        </w:rPr>
        <w:t xml:space="preserve">ومن ثم فإن علاقة الإله بالإنسان -أو علاقة الآمر بالمأمور- في التصور الائتماني تُبنى على الراحمية الإلهية،</w:t>
      </w:r>
    </w:p>
    <w:p>
      <w:pPr/>
      <w:r>
        <w:rPr>
          <w:shd w:val="clear" w:fill="eeee80"/>
        </w:rPr>
        <w:t xml:space="preserve"> وهذا يجعل الآمرية الإلهية تابعة للشاهدية الإلهية،</w:t>
      </w:r>
    </w:p>
    <w:p>
      <w:pPr/>
      <w:r>
        <w:rPr>
          <w:shd w:val="clear" w:fill="eeee80"/>
        </w:rPr>
        <w:t xml:space="preserve"> فبحكم هذه الراحمية الإلهية لا تقوم الآمرية على مجرد الإلقاء بالأوامر ومجرد الإيجاب بإيقاعها،</w:t>
      </w:r>
    </w:p>
    <w:p>
      <w:pPr/>
      <w:r>
        <w:rPr>
          <w:shd w:val="clear" w:fill="eeee80"/>
        </w:rPr>
        <w:t xml:space="preserve"> بل تقوم على الإلقاء المقترن بالإبصار وعلى الإيجاب المقترن بالاختيار،</w:t>
      </w:r>
    </w:p>
    <w:p>
      <w:pPr/>
      <w:r>
        <w:rPr>
          <w:shd w:val="clear" w:fill="eeee80"/>
        </w:rPr>
        <w:t xml:space="preserve"> وذلك لأن الشاهدية الإلهية تجمع بين السامعية والباصرية،</w:t>
      </w:r>
    </w:p>
    <w:p>
      <w:pPr/>
      <w:r>
        <w:rPr>
          <w:shd w:val="clear" w:fill="eeee80"/>
        </w:rPr>
        <w:t xml:space="preserve"> فتكون علاقة الإله بالإنسان -أو علاقة الشاهد الأعلى بالمأمور- هي علاقة إسماع وإبصار،</w:t>
      </w:r>
    </w:p>
    <w:p>
      <w:pPr/>
      <w:r>
        <w:rPr>
          <w:shd w:val="clear" w:fill="eeee80"/>
        </w:rPr>
        <w:t xml:space="preserve"> أن المنظور الائتماني ينبني تصوره للآمرية الإلهية على أساس الرحمة والاختيار لا على أساس القهر والإجبار،</w:t>
      </w:r>
    </w:p>
    <w:p>
      <w:pPr/>
      <w:r>
        <w:rPr>
          <w:shd w:val="clear" w:fill="eeee80"/>
        </w:rPr>
        <w:t xml:space="preserve"> أي أنها تقترن بسياق الرحمة فضلاً عن اقترانها بسياق الأسماء الحسنى،</w:t>
      </w:r>
    </w:p>
    <w:p>
      <w:pPr/>
      <w:r>
        <w:rPr>
          <w:shd w:val="clear" w:fill="eeee80"/>
        </w:rPr>
        <w:t xml:space="preserve"> كما يتخذ منها دليلاً يدل على وجود الله سبحانه.</w:t>
      </w:r>
    </w:p>
    <w:p>
      <w:pPr/>
      <w:r>
        <w:rPr>
          <w:shd w:val="clear" w:fill="eeee80"/>
        </w:rPr>
        <w:t xml:space="preserve"> ومن ثم فإن معرفة الألوهية تتحقق عن طريق التصور الجمالي لصفة الآمرية التي تتقدم على صفة الخالقية،</w:t>
      </w:r>
    </w:p>
    <w:p>
      <w:pPr/>
      <w:r>
        <w:rPr>
          <w:shd w:val="clear" w:fill="eeee80"/>
        </w:rPr>
        <w:t xml:space="preserve"> ومن باب أوْلى على صفة الرازقية.</w:t>
      </w:r>
    </w:p>
    <w:p>
      <w:pPr/>
      <w:r>
        <w:rPr>
          <w:shd w:val="clear" w:fill="eeee80"/>
        </w:rPr>
        <w:t xml:space="preserve"> وهكذا يكون التصور الائتماني أبدع دليلاً آخر يتقدم على دليلي الوجود والرزق وهو دليل الآمرية،</w:t>
      </w:r>
    </w:p>
    <w:p>
      <w:pPr/>
      <w:r>
        <w:rPr>
          <w:shd w:val="clear" w:fill="eeee80"/>
        </w:rPr>
        <w:t xml:space="preserve"> لكنه لا يفصلها عن الشاهدية الإلهية كما ساد بذلك الاعتقاد في الفقه الائتماري في المجال التداولي الإسلامي،</w:t>
      </w:r>
    </w:p>
    <w:p>
      <w:pPr/>
      <w:r>
        <w:rPr>
          <w:shd w:val="clear" w:fill="eeee80"/>
        </w:rPr>
        <w:t xml:space="preserve"> وكما تقرر عند أهل الحداثة من الدهرانيين في المجال التداولي الغربي،</w:t>
      </w:r>
    </w:p>
    <w:p>
      <w:pPr/>
      <w:r>
        <w:rPr>
          <w:shd w:val="clear" w:fill="eeee80"/>
        </w:rPr>
        <w:t xml:space="preserve"> وإنما يجعلها تابعة للشاهدية التي هي صفة الحق سبحانه الخاصة،</w:t>
      </w:r>
    </w:p>
    <w:p>
      <w:pPr/>
      <w:r>
        <w:rPr>
          <w:shd w:val="clear" w:fill="eeee80"/>
        </w:rPr>
        <w:t xml:space="preserve"> بشهوده لكل شيء وشهادته على كل شيء،</w:t>
      </w:r>
    </w:p>
    <w:p>
      <w:pPr/>
      <w:r>
        <w:rPr>
          <w:shd w:val="clear" w:fill="eeee80"/>
        </w:rPr>
        <w:t xml:space="preserve"> كما أن الائتماني ينظر إلى الألوهية نظرًا ملكوتيًّا،</w:t>
      </w:r>
    </w:p>
    <w:p>
      <w:pPr/>
      <w:r>
        <w:rPr>
          <w:shd w:val="clear" w:fill="eeee80"/>
        </w:rPr>
        <w:t xml:space="preserve"> حيث لا يقف المتزكي عند الظواهر،</w:t>
      </w:r>
    </w:p>
    <w:p>
      <w:pPr/>
      <w:r>
        <w:rPr>
          <w:shd w:val="clear" w:fill="eeee80"/>
        </w:rPr>
        <w:t xml:space="preserve"> بل يتعداها للآيات والقيم المنطوية تحت هذه الظواهر،</w:t>
      </w:r>
    </w:p>
    <w:p>
      <w:pPr/>
      <w:r>
        <w:rPr>
          <w:shd w:val="clear" w:fill="eeee80"/>
        </w:rPr>
        <w:t xml:space="preserve"> قصد الوصول إلى معرفة الألوهية تمام المعرفة حتى يأتيه اليقين.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2026-10-19T10:06:35+00:00</dcterms:created>
  <dcterms:modified xsi:type="dcterms:W3CDTF">2026-10-19T10:06:35+00:00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