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والمتأمل في الاختصاص القضائي الولائي لمحاكم الاستئناف يجد أنه قد حدد</w:t>
      </w:r>
    </w:p>
    <w:p>
      <w:pPr/>
      <w:r>
        <w:rPr>
          <w:shd w:val="clear" w:fill="eeee80"/>
        </w:rPr>
        <w:t xml:space="preserve"> والإجراءات الجزائية،</w:t>
      </w:r>
    </w:p>
    <w:p>
      <w:pPr/>
      <w:r>
        <w:rPr>
          <w:shd w:val="clear" w:fill="eeee80"/>
        </w:rPr>
        <w:t xml:space="preserve"> والمرافعات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2026-10-06T17:31:58+00:00</dcterms:created>
  <dcterms:modified xsi:type="dcterms:W3CDTF">2026-10-06T17:31:58+00:00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