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تم اعتماد نهج شامل لضمان أداء نموذجي قوي وتقييم دقيق.</w:t>
      </w:r>
    </w:p>
    <w:p>
      <w:pPr/>
      <w:r>
        <w:rPr/>
        <w:t xml:space="preserve"> تضمن ذلك استخدام استراتيجية التحقق المتقاطع الخماسي،</w:t>
      </w:r>
    </w:p>
    <w:p>
      <w:pPr/>
      <w:r>
        <w:rPr>
          <w:shd w:val="clear" w:fill="eeee80"/>
        </w:rPr>
        <w:t xml:space="preserve"> حيث قُسِّمت مجموعة البيانات إلى خمس مجموعات فرعية أو طيات.</w:t>
      </w:r>
    </w:p>
    <w:p>
      <w:pPr/>
      <w:r>
        <w:rPr>
          <w:shd w:val="clear" w:fill="eeee80"/>
        </w:rPr>
        <w:t xml:space="preserve"> تم تدريب كلٍّ من خطي الأنابيب "أ" و"ب" بشكل مستقل.</w:t>
      </w:r>
    </w:p>
    <w:p>
      <w:pPr/>
      <w:r>
        <w:rPr>
          <w:shd w:val="clear" w:fill="eeee80"/>
        </w:rPr>
        <w:t xml:space="preserve"> استخدم كلا خطي الأنابيب كلاً من طبقات التجميع الأقصى وطبقات التجميع ذات الصلة لتقليص حجم بيانات الإدخال والتقاط المعلومات المكانية الأساسية.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2026-08-27T16:32:48+00:00</dcterms:created>
  <dcterms:modified xsi:type="dcterms:W3CDTF">2026-08-27T16:32:48+00:00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