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development of the palatine tonsils begins during the fourteenth week of gestation.</w:t>
      </w:r>
    </w:p>
    <w:p>
      <w:pPr/>
      <w:r>
        <w:rPr/>
        <w:t xml:space="preserve"> Mononuclear wandering cells soon migrate into the mesenchyme. </w:t>
      </w:r>
    </w:p>
    <w:p>
      <w:pPr/>
      <w:r>
        <w:rPr>
          <w:shd w:val="clear" w:fill="eeee80"/>
        </w:rPr>
        <w:t xml:space="preserve">Crypts proliferate into the connective tissue and are infiltrated by T-lymphocytes at week 16.</w:t>
      </w:r>
    </w:p>
    <w:p>
      <w:pPr/>
      <w:r>
        <w:rPr/>
        <w:t xml:space="preserve">The developing palatine tonsils are considered the first B-cell regions in fetal lymphoid tissue  This series of developmental steps for the palatine tonsils arises from the 2nd pharyngeal pouch.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2026-10-26T22:53:41+00:00</dcterms:created>
  <dcterms:modified xsi:type="dcterms:W3CDTF">2026-10-26T22:53:41+00:00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