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 المدعيان قد طالبا المدعي عليها بالتنفيذ لأكثر من مرة ووعدت المدعي عليها بذلك إلا انها في كل مرة تخلف وعدها ومما أدى ألى تأخر شديد في موعد تسليم الأعمال ومما سبب ضررآ بالغاً للمدعيان ،  كونهما يقومان بأستئجار مسكن لهما وأبناؤهما حتى الأنتهاء من الأعمال ومما أدى ذلك ألى تجديد عقد الأيجار لأكثر من مرة بسبب فعل المدعي عليها وادى الأمر ألى سداد مبالغ أيجارية من المدعيان تفوق مبلغ 300, 000 درهم ولولا تأخير المدعي عليها في التنفيذ لما تكبدا المدعيان ذلك المبلغ ومما يستحقا التعويض قانوناً بسب فعل المدعي عليها المباشر والذى أدى ألى وقوع ضرر بالمدعيان مادياً ومعنوياً والذى يستحق عنه التعويض قانونآ بالأضافة ألى ما فاتهما من كسب وما لحقهما من خسارة بسبب فروقات الأسعار والتي لابد من احتساب التعويض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