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إلا أن الشخص يستطيع مع هذا أن يتخلى عن جزء من الحقوق والالتزامات التي تحويها ذمته،</w:t>
      </w:r>
    </w:p>
    <w:p>
      <w:pPr/>
      <w:r>
        <w:rPr>
          <w:shd w:val="clear" w:fill="eeee80"/>
        </w:rPr>
        <w:t xml:space="preserve"> بل عن جميع هذه الحقوق والالتزامات القائمة في وقت من الأوقات،</w:t>
      </w:r>
    </w:p>
    <w:p>
      <w:pPr/>
      <w:r>
        <w:rPr/>
        <w:t xml:space="preserve"> دون أن يكون قد تخلى بذلك عن ذمته لأن الذمة المالية، كما رأينا تبقى قائمة بالرغم من خلوها من محتوياتها ومفرداتها.</w:t>
      </w:r>
    </w:p>
    <w:p>
      <w:pPr/>
      <w:r>
        <w:rPr>
          <w:shd w:val="clear" w:fill="eeee80"/>
        </w:rPr>
        <w:t xml:space="preserve"> وذكرنا سلفاً أن الذمة المالية تنظم الأشياء الداخلة في دائرة التعامل والتي يمكن تقدير قيمتها بالمال،</w:t>
      </w:r>
    </w:p>
    <w:p>
      <w:pPr/>
      <w:r>
        <w:rPr>
          <w:shd w:val="clear" w:fill="eeee80"/>
        </w:rPr>
        <w:t xml:space="preserve"> وهذه الأشياء أما أن تكون محلا لحق عيني أو حق شخصي،</w:t>
      </w:r>
    </w:p>
    <w:p>
      <w:pPr/>
      <w:r>
        <w:rPr>
          <w:shd w:val="clear" w:fill="eeee80"/>
        </w:rPr>
        <w:t xml:space="preserve"> فأما الحقوق التي لا يمكن تقديرها بمال</w:t>
      </w:r>
    </w:p>
    <w:p>
      <w:pPr/>
      <w:r>
        <w:rPr/>
        <w:t xml:space="preserve">كحقوق العائلة والحقوق العامة فلا يمكن أن تدخل في الذمة المالية (1).وتقسيم الحقوق إلى حقوق داخلة في الذمة المالية تشمل الحقوق العينية والحقوق الشخصية،</w:t>
      </w:r>
    </w:p>
    <w:p>
      <w:pPr/>
      <w:r>
        <w:rPr>
          <w:shd w:val="clear" w:fill="eeee80"/>
        </w:rPr>
        <w:t xml:space="preserve"> هو تقسيم ابتدعه فقهاء الرومان المدنيين،</w:t>
      </w:r>
    </w:p>
    <w:p>
      <w:pPr/>
      <w:r>
        <w:rPr/>
        <w:t xml:space="preserve"> والذي كان له من الأثر الأكبر في القانون المصرى،</w:t>
      </w:r>
    </w:p>
    <w:p>
      <w:pPr/>
      <w:r>
        <w:rPr>
          <w:shd w:val="clear" w:fill="eeee80"/>
        </w:rPr>
        <w:t xml:space="preserve"> فالحق العيني هو حق يقوم علشيء معين،</w:t>
      </w:r>
    </w:p>
    <w:p>
      <w:pPr/>
      <w:r>
        <w:rPr/>
        <w:t xml:space="preserve"> ويخول لصاحبه سلطة مباشرة على هذا الشيء بحيث يستطع أن يستعمله،</w:t>
      </w:r>
    </w:p>
    <w:p>
      <w:pPr/>
      <w:r>
        <w:rPr>
          <w:shd w:val="clear" w:fill="eeee80"/>
        </w:rPr>
        <w:t xml:space="preserve"> وأن يحصل كذلك عليكل المنفعة التي يمكن الحصول عليها منه دون وساطة أحد،</w:t>
      </w:r>
    </w:p>
    <w:p>
      <w:pPr/>
      <w:r>
        <w:rPr/>
        <w:t xml:space="preserve"> ويظهر هذا جلياً في نظام الملكية،</w:t>
      </w:r>
    </w:p>
    <w:p>
      <w:pPr/>
      <w:r>
        <w:rPr>
          <w:shd w:val="clear" w:fill="eeee80"/>
        </w:rPr>
        <w:t xml:space="preserve"> حيث أنه إذا كانت الملكية حق من الحقوق المادية في القانون الروماني،</w:t>
      </w:r>
    </w:p>
    <w:p>
      <w:pPr/>
      <w:r>
        <w:rPr>
          <w:shd w:val="clear" w:fill="eeee80"/>
        </w:rPr>
        <w:t xml:space="preserve"> إلا أنها تعتبر في الواقع</w:t>
      </w:r>
    </w:p>
    <w:p>
      <w:pPr/>
      <w:r>
        <w:rPr/>
        <w:t xml:space="preserve">حقاً من الحقوق العينية (1).</w:t>
      </w:r>
    </w:p>
    <w:p>
      <w:pPr/>
      <w:r>
        <w:rPr>
          <w:shd w:val="clear" w:fill="eeee80"/>
        </w:rPr>
        <w:t xml:space="preserve">أما الحق الشخصي فهو رابطة بين شخصين أحدهما الدائن وهو صاحب الحق والآخر المدين وهو من يقع عليه الدين،</w:t>
      </w:r>
    </w:p>
    <w:p>
      <w:pPr/>
      <w:r>
        <w:rPr>
          <w:shd w:val="clear" w:fill="eeee80"/>
        </w:rPr>
        <w:t xml:space="preserve"> ويستطع الدائن بمقتضاء أن يطالب مدينه بشيء أو يعمل معين،</w:t>
      </w:r>
    </w:p>
    <w:p>
      <w:pPr/>
      <w:r>
        <w:rPr/>
        <w:t xml:space="preserve"> ولكنه لا يستطيع الحصول طلبهذا الشيء إلا عن طريق المدين،</w:t>
      </w:r>
    </w:p>
    <w:p>
      <w:pPr/>
      <w:r>
        <w:rPr>
          <w:shd w:val="clear" w:fill="eeee80"/>
        </w:rPr>
        <w:t xml:space="preserve"> وبوساطته لأن حقه إنما يقوم عليهذه الرابطة،</w:t>
      </w:r>
    </w:p>
    <w:p>
      <w:pPr/>
      <w:r>
        <w:rPr>
          <w:shd w:val="clear" w:fill="eeee80"/>
        </w:rPr>
        <w:t xml:space="preserve"> وهناك نتائج هامة تترتب على التمييز بين الحق العيني والحق الشخصي أهمها (1).</w:t>
      </w:r>
    </w:p>
    <w:p>
      <w:pPr/>
      <w:r>
        <w:rPr/>
        <w:t xml:space="preserve">- حق التتبع: لما كان .</w:t>
      </w:r>
    </w:p>
    <w:p>
      <w:pPr/>
      <w:r>
        <w:rPr>
          <w:shd w:val="clear" w:fill="eeee80"/>
        </w:rPr>
        <w:t xml:space="preserve"> الصاحبه حق تتبع الشيء فى يد أي الحق العيني سلطة مباشرة على الشي 152040</w:t>
      </w:r>
    </w:p>
    <w:p>
      <w:pPr/>
      <w:r>
        <w:rPr>
          <w:shd w:val="clear" w:fill="eeee80"/>
        </w:rPr>
        <w:t xml:space="preserve">شخص كان.</w:t>
      </w:r>
    </w:p>
    <w:p>
      <w:pPr/>
      <w:r>
        <w:rPr>
          <w:shd w:val="clear" w:fill="eeee80"/>
        </w:rPr>
        <w:t xml:space="preserve">حق الأفضلية: فلصاحب الحق العيني حق ! الأفضلية،</w:t>
      </w:r>
    </w:p>
    <w:p>
      <w:pPr/>
      <w:r>
        <w:rPr>
          <w:shd w:val="clear" w:fill="eeee80"/>
        </w:rPr>
        <w:t xml:space="preserve"> بمعنى أنه يستطيع ينفذ .</w:t>
      </w:r>
    </w:p>
    <w:p>
      <w:pPr/>
      <w:r>
        <w:rPr>
          <w:shd w:val="clear" w:fill="eeee80"/>
        </w:rPr>
        <w:t xml:space="preserve"> حقه كاملاً على العين قبل صاحب الحق الشخصي،</w:t>
      </w:r>
    </w:p>
    <w:p>
      <w:pPr/>
      <w:r>
        <w:rPr>
          <w:shd w:val="clear" w:fill="eeee80"/>
        </w:rPr>
        <w:t xml:space="preserve"> وقبل الحقوق العينية المقررة بعد،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2026-10-17T00:55:19+00:00</dcterms:created>
  <dcterms:modified xsi:type="dcterms:W3CDTF">2026-10-17T00:55:19+00:00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