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تُرتب موضوعاتها زمنياً وتُحدّث باستمرار.</w:t>
      </w:r>
    </w:p>
    <w:p>
      <w:pPr/>
      <w:r>
        <w:rPr>
          <w:shd w:val="clear" w:fill="eeee80"/>
        </w:rPr>
        <w:t xml:space="preserve"> وقد تحتوي على النصوص والصور ومقاطع الفيديو والملفات الصوتية والروابط،</w:t>
      </w:r>
    </w:p>
    <w:p>
      <w:pPr/>
      <w:r>
        <w:rPr>
          <w:shd w:val="clear" w:fill="eeee80"/>
        </w:rPr>
        <w:t xml:space="preserve"> ولذلك تجمع بين الطابع النصي والشخصي والوسائط المتعددة.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2026-11-01T18:27:55+00:00</dcterms:created>
  <dcterms:modified xsi:type="dcterms:W3CDTF">2026-11-01T18:27:55+00:00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