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يوفر هذا الكتاب فهماً عميقاً للتواصل غير اللفظي، مع التركيز على أهمية الإيماءات في التجارب اليومية.</w:t>
      </w:r>
    </w:p>
    <w:p>
      <w:pPr/>
      <w:r>
        <w:rPr>
          <w:shd w:val="clear" w:fill="eeee80"/>
        </w:rPr>
        <w:t xml:space="preserve"> يهدف إلى تعزيز التواصل وتعزيز الفهم بين الأفراد.</w:t>
      </w:r>
    </w:p>
    <w:p>
      <w:pPr/>
      <w:r>
        <w:rPr>
          <w:shd w:val="clear" w:fill="eeee80"/>
        </w:rPr>
        <w:t xml:space="preserve"> يؤكد الكتاب على أهمية فهم وتحليل الإيماءات لتعزيز خبرتنا ونصبح أكثر 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2026-10-14T06:45:39+00:00</dcterms:created>
  <dcterms:modified xsi:type="dcterms:W3CDTF">2026-10-14T06:45:39+00:00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