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الصحافة الإلكترونية عنصرًا حيويًا في الإعلام الحديث،  تُواجه الصحافة الورقية تحديات مالية أدت إلى تراجعها،  مما يحتم التفكير في استراتيجيات للوصول إلى جمهور متزايد عبر الإنترنت.  مما يعزز التكامل بين الصحافتين لتحقيق تجربة إعلامية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