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legal analysis concerns a Seller's claim against a Buyer for breach of contract regarding three industrial compressors (OMR 300,000).  The Buyer defaulted on a OMR 100,000 installment, despite a registered pledge of the compressors as collateral and a corporate guarantee from Gulf Manufacturing LLC.  The Seller's demand notice went unanswered.  Key legal questions involve the Seller's right to terminate the contract and claim damages under Omani Commercial Law (Article 81), the enforceability of the pledge (requiring a court order unless otherwise specified in the contract, per Article 1072 of the Omani Civil Transactions Law), and the Guarantor's liability (Article 746, Omani Civil Transactions Law).  The Seller seeks to explore all available legal remedies, including contract termination, enforcement of the pledge, and action against the Guarantor.  The Buyer's refusal to surrender the compressors and the Guarantor's refusal to pay, citing the need for additional time for the Buyer, complicate the matter.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