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والعنف ضد الأطفال (من الولادة إلى بلوغ ١٨ سنة من العمر) بمن فيهم الماهقون منتشر ويعد انتهاكاً</w:t>
      </w:r>
    </w:p>
    <w:p>
      <w:pPr/>
      <w:r>
        <w:rPr>
          <w:shd w:val="clear" w:fill="eeee80"/>
        </w:rPr>
        <w:t xml:space="preserve"> وله عواقب سلبية تدوم مدى الحياة وتشمل اعتلال الصحة والسلوك المنطوي على</w:t>
      </w:r>
    </w:p>
    <w:p>
      <w:pPr/>
      <w:r>
        <w:rPr/>
        <w:t xml:space="preserve">مخاطر صحية والتعرض للعنف وممارسته لاحقاً.</w:t>
      </w:r>
    </w:p>
    <w:p>
      <w:pPr/>
      <w:r>
        <w:rPr>
          <w:shd w:val="clear" w:fill="eeee80"/>
        </w:rPr>
        <w:t xml:space="preserve"> وفي العديد من البلدان غالباً ما يعتبر العنف طريقة مقبولة</w:t>
      </w:r>
    </w:p>
    <w:p>
      <w:pPr/>
      <w:r>
        <w:rPr>
          <w:shd w:val="clear" w:fill="eeee80"/>
        </w:rPr>
        <w:t xml:space="preserve"> ويكون العنف ضد الأطفال خافياً في كثير من الأحيان وهناك عدد قليل من الأطفال الذين</w:t>
      </w:r>
    </w:p>
    <w:p>
      <w:pPr/>
      <w:r>
        <w:rPr>
          <w:shd w:val="clear" w:fill="eeee80"/>
        </w:rPr>
        <w:t xml:space="preserve">يتعرّضون لإساءة المعاملة وتتاح لهم البرامج والخدمات التي يحتاجون إليها.</w:t>
      </w:r>
    </w:p>
    <w:p>
      <w:pPr/>
      <w:r>
        <w:rPr>
          <w:shd w:val="clear" w:fill="eeee80"/>
        </w:rPr>
        <w:t xml:space="preserve"> ويولى حالياً اهتمام متزايد للعنف ضد الأطفال مما يمثل فرصة سانحة لإذكاء الوعي وتعزيز استجابة النظام الصحي.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2026-10-15T13:56:12+00:00</dcterms:created>
  <dcterms:modified xsi:type="dcterms:W3CDTF">2026-10-15T13:56:12+00:00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