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Introduction organizations and economic environment that both influences and is influenced by their activities.</w:t>
      </w:r>
    </w:p>
    <w:p>
      <w:pPr/>
      <w:r>
        <w:rPr/>
        <w:t xml:space="preserve"> This environment consists of dynamic, interactive, and constantly changing variables, some of which are shaped by government actions as it fulfills its various roles in the economy.</w:t>
      </w:r>
    </w:p>
    <w:p>
      <w:pPr/>
      <w:r>
        <w:rPr>
          <w:shd w:val="clear" w:fill="eeee80"/>
        </w:rPr>
        <w:t xml:space="preserve">The economic environment is a crucial aspect of the external business environment that influences how businesses operate and make decisionsThe economic environment refers to all the external economic factors that influence the operations and performance of a business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2026-10-18T19:01:41+00:00</dcterms:created>
  <dcterms:modified xsi:type="dcterms:W3CDTF">2026-10-18T19:01:41+00:00</dcterms:modified>
</cp:coreProperties>
</file>

<file path=docProps/custom.xml><?xml version="1.0" encoding="utf-8"?>
<Properties xmlns="http://schemas.openxmlformats.org/officeDocument/2006/custom-properties" xmlns:vt="http://schemas.openxmlformats.org/officeDocument/2006/docPropsVTypes"/>
</file>