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يُهدد ارتفاع مستوى سطح البحر المناطق الساحلية الكويتية بالفيضانات، وتلوث المياه الجوفية والتربة، والتعرية، وفقدان الموائل.  يتفاقم الخطر خلال المد العالي والعواصف، مُهدداً البيئات المعتمدة على مياه الخليج. ستتأثر جزيرة بوبيان بشدة، حيث قد تغمر المياه نصفها بحلول نهاية القرن، مع بقاء الأراضي المرتفعة فقط.  كما سيتأثر الساحل الغربي قرب ميناء الدوحة وأحياء مدينة الكويت بكثافة سكانية عالية سلباً بارتفاع منسوب مياه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