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تساعد طلابي في مختلف مجالات التعليم والتعلم من خلال الاستفادة من الذكاء الصناعي،</w:t>
      </w:r>
    </w:p>
    <w:p>
      <w:pPr/>
      <w:r>
        <w:rPr>
          <w:shd w:val="clear" w:fill="eeee80"/>
        </w:rPr>
        <w:t xml:space="preserve"> مما يتيح لهم استخدام مجموعة واسعة من الأدوات لتطوير مهاراتهم في البحث العلمي وتحليل البيانات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2026-10-01T16:32:58+00:00</dcterms:created>
  <dcterms:modified xsi:type="dcterms:W3CDTF">2026-10-01T16:32:58+00:00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