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ظهرت عدة محاولات منذ بداية الإنسانية لمحاولات فهم وتفسير الأمراض العقلية،</w:t>
      </w:r>
    </w:p>
    <w:p>
      <w:pPr/>
      <w:r>
        <w:rPr/>
        <w:t xml:space="preserve"> وقد كانت مختلف التفسيرات تتناسب ومختلف أنماط السلوك التي ظهرت وتسلسلت عبر الزمان،</w:t>
      </w:r>
    </w:p>
    <w:p>
      <w:pPr/>
      <w:r>
        <w:rPr>
          <w:shd w:val="clear" w:fill="eeee80"/>
        </w:rPr>
        <w:t xml:space="preserve"> وهذا التسلسل لمختلف التغيرات</w:t>
      </w:r>
    </w:p>
    <w:p>
      <w:pPr/>
      <w:r>
        <w:rPr>
          <w:shd w:val="clear" w:fill="eeee80"/>
        </w:rPr>
        <w:t xml:space="preserve">يسمح لنا بفهم كيفية ظهور علم النفس الإكلينيكي.</w:t>
      </w:r>
    </w:p>
    <w:p>
      <w:pPr/>
      <w:r>
        <w:rPr>
          <w:shd w:val="clear" w:fill="eeee80"/>
        </w:rPr>
        <w:t xml:space="preserve">وقد أشارت دراسات الدلائل الأنثروبولوجية والدراسات الثقافية المستعرضة للمجتمعات البدائية إلى أنَّ الإنسان البدائي قد أخفق في التفرقة بين الاضطرابات الجسمية والعقلية،</w:t>
      </w:r>
    </w:p>
    <w:p>
      <w:pPr/>
      <w:r>
        <w:rPr>
          <w:shd w:val="clear" w:fill="eeee80"/>
        </w:rPr>
        <w:t xml:space="preserve"> بل حتى لم تكن لديه إلا القليل من الفهم للتكوين البيولوجي لجسمه،</w:t>
      </w:r>
    </w:p>
    <w:p>
      <w:pPr/>
      <w:r>
        <w:rPr>
          <w:shd w:val="clear" w:fill="eeee80"/>
        </w:rPr>
        <w:t xml:space="preserve"> ولأنَّ الإنسان البدائي كان يجهل تشريحه وجوانبه الفيزيولوجية نراه قد عجز عن تفسير السلوك الغريب على أساس منالعوامل الطبيعية،</w:t>
      </w:r>
    </w:p>
    <w:p>
      <w:pPr/>
      <w:r>
        <w:rPr>
          <w:shd w:val="clear" w:fill="eeee80"/>
        </w:rPr>
        <w:t xml:space="preserve"> وأنه نسبها بدلاً من ذلك إلى عوامل أو أرواح غريبة كان لها القدرة على أن تلج إلى الجسم على نحو ما ،</w:t>
      </w:r>
    </w:p>
    <w:p>
      <w:pPr/>
      <w:r>
        <w:rPr>
          <w:shd w:val="clear" w:fill="eeee80"/>
        </w:rPr>
        <w:t xml:space="preserve"> ورغم أنَّ الخرافات البدائية قد استمرت حتى العصر الكلاسيكي وما بعده؛</w:t>
      </w:r>
    </w:p>
    <w:p>
      <w:pPr/>
      <w:r>
        <w:rPr>
          <w:shd w:val="clear" w:fill="eeee80"/>
        </w:rPr>
        <w:t xml:space="preserve"> إلا أن التاريخ يكشف لنا محاولات قد أجريت قبل العصور الذهبية لليونان والرومان لإيجاد طريقة</w:t>
      </w:r>
    </w:p>
    <w:p>
      <w:pPr/>
      <w:r>
        <w:rPr>
          <w:shd w:val="clear" w:fill="eeee80"/>
        </w:rPr>
        <w:t xml:space="preserve">أكثر معقولية لفهم مرضى العقل وعلاجهم.</w:t>
      </w:r>
    </w:p>
    <w:p>
      <w:pPr/>
      <w:r>
        <w:rPr>
          <w:shd w:val="clear" w:fill="eeee80"/>
        </w:rPr>
        <w:t xml:space="preserve"> فقد نسب قدماء الصين والمصريين واليونانيين المرض النفسي إلى</w:t>
      </w:r>
    </w:p>
    <w:p>
      <w:pPr/>
      <w:r>
        <w:rPr/>
        <w:t xml:space="preserve">عملية امتلاك الشيطان أو مسه للمريض، واعتقدوا بانتشار الأرواح الخيرة والشريرة، وبمسؤولياتهما عن الحوادث الطبيعية والاجتماعية والفردية.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2026-10-10T18:04:04+00:00</dcterms:created>
  <dcterms:modified xsi:type="dcterms:W3CDTF">2026-10-10T18:04:04+00:00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