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Forensic anthropologists examined the skeletal remains recovered from the disaster sites.</w:t>
      </w:r>
    </w:p>
    <w:p>
      <w:pPr/>
      <w:r>
        <w:rPr>
          <w:shd w:val="clear" w:fill="eeee80"/>
        </w:rPr>
        <w:t xml:space="preserve">They analyzed the bones,.</w:t>
      </w:r>
    </w:p>
    <w:p>
      <w:pPr/>
      <w:r>
        <w:rPr/>
        <w:t xml:space="preserve"> By comparing these characteristics with available ante-mortem data they were able to make identificforensic anthropologists can examine the bones to identify signs of trauma, such as fractures, gunshot wounds, or blunt force injuries. This analysis can provide crucial information for determining the cause and manner of death and aid in the identification process.</w:t>
      </w:r>
    </w:p>
    <w:p>
      <w:pPr/>
      <w:r>
        <w:rPr>
          <w:shd w:val="clear" w:fill="eeee80"/>
        </w:rPr>
        <w:t xml:space="preserve">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2026-10-19T15:29:28+00:00</dcterms:created>
  <dcterms:modified xsi:type="dcterms:W3CDTF">2026-10-19T15:29:28+00:00</dcterms:modified>
</cp:coreProperties>
</file>

<file path=docProps/custom.xml><?xml version="1.0" encoding="utf-8"?>
<Properties xmlns="http://schemas.openxmlformats.org/officeDocument/2006/custom-properties" xmlns:vt="http://schemas.openxmlformats.org/officeDocument/2006/docPropsVTypes"/>
</file>