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يستكشف هذا المقال تطور القانون المدني والقانون العام نحو التقارب,</w:t>
      </w:r>
    </w:p>
    <w:p>
      <w:pPr/>
      <w:r>
        <w:rPr>
          <w:shd w:val="clear" w:fill="eeee80"/>
        </w:rPr>
        <w:t xml:space="preserve">ويتناول بإيجاز تاريخ المنظورات النظرية والفلسفية التي </w:t>
      </w:r>
    </w:p>
    <w:p>
      <w:pPr/>
      <w:r>
        <w:rPr>
          <w:shd w:val="clear" w:fill="eeee80"/>
        </w:rPr>
        <w:t xml:space="preserve">التي ساهمت في تشكيل التطور والتغيير في هذين النظامين.</w:t>
      </w:r>
    </w:p>
    <w:p>
      <w:pPr/>
      <w:r>
        <w:rPr>
          <w:shd w:val="clear" w:fill="eeee80"/>
        </w:rPr>
        <w:t xml:space="preserve"> يحلل المقال </w:t>
      </w:r>
    </w:p>
    <w:p>
      <w:pPr/>
      <w:r>
        <w:rPr>
          <w:shd w:val="clear" w:fill="eeee80"/>
        </w:rPr>
        <w:t xml:space="preserve">الملامح العامة للجوانب المركزية لنظرية العقود في القانون المدني والقانون العام </w:t>
      </w:r>
    </w:p>
    <w:p>
      <w:pPr/>
      <w:r>
        <w:rPr>
          <w:shd w:val="clear" w:fill="eeee80"/>
        </w:rPr>
        <w:t xml:space="preserve">الولايات القضائية.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2026-10-13T02:47:31+00:00</dcterms:created>
  <dcterms:modified xsi:type="dcterms:W3CDTF">2026-10-13T02:47:31+00:00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