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ضوء المتاح من الدراسات السابقة المتعلقة بموضوع البحث أتضح نقص الدراسات والبحوث التى تناولت  دور الجدارات الإدارية في تحقيق التميز المؤسسي بالتطبيق على شركات قطاع البترول المشترك وللمساهمة فى غلق الفجوة البحثية تسعى الدراسة إلى الإجابة على التساؤلات التالية :</w:t>
      </w:r>
    </w:p>
    <w:p>
      <w:pPr/>
      <w:r>
        <w:rPr>
          <w:shd w:val="clear" w:fill="eeee80"/>
        </w:rPr>
        <w:t xml:space="preserve">أ- الى أي مدى يتم تطبيق مفهوم الجدارات الإدارية في شركات قطاع البترول المشترك؟</w:t>
      </w:r>
    </w:p>
    <w:p>
      <w:pPr/>
      <w:r>
        <w:rPr>
          <w:shd w:val="clear" w:fill="eeee80"/>
        </w:rPr>
        <w:t xml:space="preserve">ب- ما هي أبعاد الجدارات الإدارية التي تطبق في شركات قطاع البترول المشترك؟</w:t>
      </w:r>
    </w:p>
    <w:p>
      <w:pPr/>
      <w:r>
        <w:rPr/>
        <w:t xml:space="preserve">ﺟ -الى أي مدى يتم تطبيق مفهوم التميز المؤسسي في شركات قطاع البترول المشترك؟د- ما هي أبعاد التميز المؤسسي التي تعتمد في شركات قطاع البترول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2026-10-21T11:21:44+00:00</dcterms:created>
  <dcterms:modified xsi:type="dcterms:W3CDTF">2026-10-21T11:21:44+00:00</dcterms:modified>
</cp:coreProperties>
</file>

<file path=docProps/custom.xml><?xml version="1.0" encoding="utf-8"?>
<Properties xmlns="http://schemas.openxmlformats.org/officeDocument/2006/custom-properties" xmlns:vt="http://schemas.openxmlformats.org/officeDocument/2006/docPropsVTypes"/>
</file>