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اجتذبت المواقع الاثرية الغنية في الأراضي المقدسة/ فلسطين،</w:t>
      </w:r>
    </w:p>
    <w:p>
      <w:pPr/>
      <w:r>
        <w:rPr>
          <w:shd w:val="clear" w:fill="eeee80"/>
        </w:rPr>
        <w:t xml:space="preserve"> خلال مرحلة ضعف قبضة الامبراطورية العثمانية على الأقاليم التي كانت تحت سيطرتها في القرن التاسع عشر،</w:t>
      </w:r>
    </w:p>
    <w:p>
      <w:pPr/>
      <w:r>
        <w:rPr/>
        <w:t xml:space="preserve"> اهتمام المستكشفين الباحثين عن الثروة والجمعيات العلمية والدينية،</w:t>
      </w:r>
    </w:p>
    <w:p>
      <w:pPr/>
      <w:r>
        <w:rPr>
          <w:shd w:val="clear" w:fill="eeee80"/>
        </w:rPr>
        <w:t xml:space="preserve"> مستفيدين من التغلغل الاستعماري الأوروبي.</w:t>
      </w:r>
    </w:p>
    <w:p>
      <w:pPr/>
      <w:r>
        <w:rPr>
          <w:shd w:val="clear" w:fill="eeee80"/>
        </w:rPr>
        <w:t xml:space="preserve"> للحد من التنقيب غير المنظم والاستحواذ على/ وبيع القطع الاثرية (الايقونات،</w:t>
      </w:r>
    </w:p>
    <w:p>
      <w:pPr/>
      <w:r>
        <w:rPr>
          <w:shd w:val="clear" w:fill="eeee80"/>
        </w:rPr>
        <w:t xml:space="preserve"> القطع الحجرية والأثرية) ،</w:t>
      </w:r>
    </w:p>
    <w:p>
      <w:pPr/>
      <w:r>
        <w:rPr/>
        <w:t xml:space="preserve"> من خلال إصدار قوانين وأنظمة أكثر صرامة (مراسيم الأثار لسنوات 1869،</w:t>
      </w:r>
    </w:p>
    <w:p>
      <w:pPr/>
      <w:r>
        <w:rPr>
          <w:shd w:val="clear" w:fill="eeee80"/>
        </w:rPr>
        <w:t xml:space="preserve"> و1906) ذات صلة بحقوق التنقيب وملكية الموجودات المكتشفة: المنقولة وغير المنقولة.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2026-09-22T14:18:28+00:00</dcterms:created>
  <dcterms:modified xsi:type="dcterms:W3CDTF">2026-09-22T14:18:28+00:00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