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إزداد الجدل بين المتخصصين حول ما هو استراتيجي وما هو غير استراتيجي من</w:t>
      </w:r>
    </w:p>
    <w:p>
      <w:pPr/>
      <w:r>
        <w:rPr>
          <w:shd w:val="clear" w:fill="eeee80"/>
        </w:rPr>
        <w:t xml:space="preserve">المعلومات التي يتم إتاحتها للمديرين متخذي القرارات على النحو الذي يحتم اعتماد</w:t>
      </w:r>
    </w:p>
    <w:p>
      <w:pPr/>
      <w:r>
        <w:rPr>
          <w:shd w:val="clear" w:fill="eeee80"/>
        </w:rPr>
        <w:t xml:space="preserve">أسس سليمة في الفصل بين الصنفين من المعلومات بما يوفر القناعة الملائمة والإدراك</w:t>
      </w:r>
    </w:p>
    <w:p>
      <w:pPr/>
      <w:r>
        <w:rPr/>
        <w:t xml:space="preserve">السليم لدى المعنيين من الأكاديميين والمهنيين في إطار تحديد الأصناف التي تقع فيخانة المعلومات الاستراتيجية وتلك التي تقع خارجها وصولاً إلى تحديد مفهوم المعلومات</w:t>
      </w:r>
    </w:p>
    <w:p>
      <w:pPr/>
      <w:r>
        <w:rPr>
          <w:shd w:val="clear" w:fill="eeee80"/>
        </w:rPr>
        <w:t xml:space="preserve">الاستراتيجية وبيان أهم ألابعاد والخصائص التي تتصف بها والتي تميزها عن أنواع</w:t>
      </w:r>
    </w:p>
    <w:p>
      <w:pPr/>
      <w:r>
        <w:rPr>
          <w:shd w:val="clear" w:fill="eeee80"/>
        </w:rPr>
        <w:t xml:space="preserve"> إلى جانب الابعاد والخصائص التي يمكن أن تشترك بها المعلومات</w:t>
      </w:r>
    </w:p>
    <w:p>
      <w:pPr/>
      <w:r>
        <w:rPr/>
        <w:t xml:space="preserve">الاستراتيجية مع باقي أنواع المعلومات وهكذا فإن الفصل الحالي يتضمن محوريناساسين وهما تحديد مفهوم المعلومات الاستراتيجية وعرض أهم أبعادها وخصائصها.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2026-08-31T15:35:22+00:00</dcterms:created>
  <dcterms:modified xsi:type="dcterms:W3CDTF">2026-08-31T15:35:22+00:00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