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ـ يحوز القانون الجنائي بمكانة هامة في قانون االستهالك وهناك عدة التزامات</w:t>
      </w:r>
    </w:p>
    <w:p>
      <w:pPr/>
      <w:r>
        <w:rPr/>
        <w:t xml:space="preserve">خاصة تلك التي تلقى على عاتق المهنيين بهدف حماية المستهلك فإنه تواكبها أوفمثاال الغش والتدليس أو التزوير توصف بأنها جرائم</w:t>
      </w:r>
    </w:p>
    <w:p>
      <w:pPr/>
      <w:r>
        <w:rPr>
          <w:shd w:val="clear" w:fill="eeee80"/>
        </w:rPr>
        <w:t xml:space="preserve">كما نجد أيضا عقوبات جزائية في مجال اإلشهار والبيع المتنقل والقرض.</w:t>
      </w:r>
    </w:p>
    <w:p>
      <w:pPr/>
      <w:r>
        <w:rPr>
          <w:shd w:val="clear" w:fill="eeee80"/>
        </w:rPr>
        <w:t xml:space="preserve">للعقوبات الجزائية دور أكثر وقاية بسبب التهديدات التي تحتوي عليها .</w:t>
      </w:r>
    </w:p>
    <w:p>
      <w:pPr/>
      <w:r>
        <w:rPr>
          <w:shd w:val="clear" w:fill="eeee80"/>
        </w:rPr>
        <w:t xml:space="preserve">العقوبات الجزائية تبدو ضرورية وأكيدة لضمان احترام القانون بشرط أن تكون هذه</w:t>
      </w:r>
    </w:p>
    <w:p>
      <w:pPr/>
      <w:r>
        <w:rPr/>
        <w:t xml:space="preserve">العقوبات متطابقة مع المصالح واألهداف التي يصبوا القانون لحمايتها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2026-09-07T15:36:15+00:00</dcterms:created>
  <dcterms:modified xsi:type="dcterms:W3CDTF">2026-09-07T15:36:15+00:00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