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1 - أن يكون حجم المسؤولية أكبر من حجم السلطة : وهذا وضع خاطىء،</w:t>
      </w:r>
    </w:p>
    <w:p>
      <w:pPr/>
      <w:r>
        <w:rPr/>
        <w:t xml:space="preserve">مخول بتنفيذها، ويصبح الموظف عندها شبه المقيد وظيفياً. وفي حالة سحب السلطة عنه يصبح موظفاً شكلياً دون تنفيذ أية أعمال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2026-10-21T03:03:01+00:00</dcterms:created>
  <dcterms:modified xsi:type="dcterms:W3CDTF">2026-10-21T03:03:01+00:00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