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تتكون عجلة الألوان للأمن السيبراني من فرق متنوعة، كل منها يقوم بأدوار ومسؤوليات فريدة من نوعها ،من خلال العمل معا،</w:t>
      </w:r>
    </w:p>
    <w:p>
      <w:pPr/>
      <w:r>
        <w:rPr>
          <w:shd w:val="clear" w:fill="eeee80"/>
        </w:rPr>
        <w:t xml:space="preserve"> تشكل هذه الفرق استراتيجية دفاع شاملة لحماية المنظمات من تهديدات إلكترونية 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2026-10-19T17:38:35+00:00</dcterms:created>
  <dcterms:modified xsi:type="dcterms:W3CDTF">2026-10-19T17:38:35+00:00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